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B3" w:rsidRPr="00FC659E" w:rsidRDefault="00544BB3" w:rsidP="00544BB3">
      <w:pPr>
        <w:spacing w:after="0" w:line="240" w:lineRule="auto"/>
        <w:jc w:val="center"/>
        <w:rPr>
          <w:rFonts w:ascii="Arial" w:hAnsi="Arial" w:cs="Arial"/>
          <w:b/>
          <w:color w:val="2F5496" w:themeColor="accent5" w:themeShade="BF"/>
          <w:sz w:val="18"/>
          <w:szCs w:val="18"/>
        </w:rPr>
      </w:pPr>
      <w:r w:rsidRPr="00FC659E">
        <w:rPr>
          <w:rFonts w:ascii="Arial" w:hAnsi="Arial" w:cs="Arial"/>
          <w:b/>
          <w:i/>
          <w:noProof/>
          <w:color w:val="2F5496" w:themeColor="accent5" w:themeShade="BF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-323850</wp:posOffset>
            </wp:positionH>
            <wp:positionV relativeFrom="paragraph">
              <wp:posOffset>140335</wp:posOffset>
            </wp:positionV>
            <wp:extent cx="790575" cy="864235"/>
            <wp:effectExtent l="0" t="0" r="9525" b="0"/>
            <wp:wrapNone/>
            <wp:docPr id="3" name="Picture 3" descr="U:\Shared\Images\Logos\ICA 100 Seal 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Shared\Images\Logos\ICA 100 Seal oran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4BB3" w:rsidRPr="005015C5" w:rsidRDefault="005015C5" w:rsidP="005015C5">
      <w:pPr>
        <w:tabs>
          <w:tab w:val="left" w:pos="936"/>
        </w:tabs>
        <w:spacing w:after="0" w:line="240" w:lineRule="auto"/>
        <w:ind w:right="-547"/>
        <w:rPr>
          <w:rFonts w:ascii="Arial" w:hAnsi="Arial" w:cs="Arial"/>
          <w:i/>
          <w:color w:val="2F5496" w:themeColor="accent5" w:themeShade="BF"/>
          <w:sz w:val="48"/>
          <w:szCs w:val="48"/>
          <w:u w:val="single"/>
        </w:rPr>
      </w:pPr>
      <w:r w:rsidRPr="005015C5">
        <w:rPr>
          <w:rFonts w:ascii="Arial" w:hAnsi="Arial" w:cs="Arial"/>
          <w:i/>
          <w:color w:val="2F5496" w:themeColor="accent5" w:themeShade="BF"/>
          <w:sz w:val="48"/>
          <w:szCs w:val="48"/>
        </w:rPr>
        <w:tab/>
      </w:r>
      <w:r w:rsidR="00544BB3" w:rsidRPr="005015C5">
        <w:rPr>
          <w:rFonts w:ascii="Arial" w:hAnsi="Arial" w:cs="Arial"/>
          <w:i/>
          <w:color w:val="2F5496" w:themeColor="accent5" w:themeShade="BF"/>
          <w:sz w:val="48"/>
          <w:szCs w:val="48"/>
          <w:u w:val="single"/>
        </w:rPr>
        <w:t>Media Announcement</w:t>
      </w:r>
    </w:p>
    <w:p w:rsidR="00544BB3" w:rsidRPr="00FC659E" w:rsidRDefault="005015C5" w:rsidP="005015C5">
      <w:pPr>
        <w:tabs>
          <w:tab w:val="left" w:pos="936"/>
          <w:tab w:val="left" w:pos="1710"/>
          <w:tab w:val="right" w:pos="9360"/>
        </w:tabs>
        <w:spacing w:after="0" w:line="240" w:lineRule="auto"/>
        <w:ind w:right="-547"/>
        <w:rPr>
          <w:rFonts w:ascii="Arial" w:hAnsi="Arial" w:cs="Arial"/>
          <w:b/>
          <w:color w:val="2F5496" w:themeColor="accent5" w:themeShade="BF"/>
          <w:sz w:val="20"/>
          <w:szCs w:val="20"/>
        </w:rPr>
      </w:pPr>
      <w:r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ab/>
      </w:r>
      <w:r w:rsidR="00544BB3" w:rsidRPr="00FC659E"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>International Chiropractors Association</w:t>
      </w:r>
      <w:r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ab/>
      </w:r>
      <w:r w:rsidR="00544BB3" w:rsidRPr="00FC659E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CONTACT:  </w:t>
      </w:r>
      <w:r w:rsidR="00544BB3">
        <w:rPr>
          <w:rFonts w:ascii="Arial" w:hAnsi="Arial" w:cs="Arial"/>
          <w:b/>
          <w:color w:val="2F5496" w:themeColor="accent5" w:themeShade="BF"/>
          <w:sz w:val="20"/>
          <w:szCs w:val="20"/>
        </w:rPr>
        <w:t>Donald</w:t>
      </w:r>
      <w:r w:rsidR="00544BB3" w:rsidRPr="00FC659E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 M. </w:t>
      </w:r>
      <w:r w:rsidR="00544BB3">
        <w:rPr>
          <w:rFonts w:ascii="Arial" w:hAnsi="Arial" w:cs="Arial"/>
          <w:b/>
          <w:color w:val="2F5496" w:themeColor="accent5" w:themeShade="BF"/>
          <w:sz w:val="20"/>
          <w:szCs w:val="20"/>
        </w:rPr>
        <w:t>Reno, DC, FICA</w:t>
      </w:r>
    </w:p>
    <w:p w:rsidR="00544BB3" w:rsidRPr="00FC659E" w:rsidRDefault="005015C5" w:rsidP="005015C5">
      <w:pPr>
        <w:tabs>
          <w:tab w:val="left" w:pos="936"/>
          <w:tab w:val="left" w:pos="1710"/>
          <w:tab w:val="right" w:pos="9360"/>
        </w:tabs>
        <w:spacing w:after="0" w:line="240" w:lineRule="auto"/>
        <w:ind w:right="-547"/>
        <w:rPr>
          <w:rFonts w:ascii="Arial" w:hAnsi="Arial" w:cs="Arial"/>
          <w:b/>
          <w:i/>
          <w:color w:val="2F5496" w:themeColor="accent5" w:themeShade="BF"/>
          <w:sz w:val="20"/>
          <w:szCs w:val="20"/>
        </w:rPr>
      </w:pPr>
      <w:r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ab/>
      </w:r>
      <w:r w:rsidR="00544BB3" w:rsidRPr="00FC659E"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>6400 Arlington Boulevard</w:t>
      </w:r>
      <w:r w:rsidR="00544BB3"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 xml:space="preserve">, </w:t>
      </w:r>
      <w:r w:rsidR="00544BB3" w:rsidRPr="00FC659E"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>Suite 800</w:t>
      </w:r>
      <w:r w:rsidR="00544BB3"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ab/>
        <w:t xml:space="preserve"> </w:t>
      </w:r>
      <w:r w:rsidR="00544BB3" w:rsidRPr="00FC659E">
        <w:rPr>
          <w:rFonts w:ascii="Arial" w:hAnsi="Arial" w:cs="Arial"/>
          <w:b/>
          <w:color w:val="2F5496" w:themeColor="accent5" w:themeShade="BF"/>
          <w:sz w:val="20"/>
          <w:szCs w:val="20"/>
        </w:rPr>
        <w:t>TEL.</w:t>
      </w:r>
      <w:r w:rsidR="00544BB3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 </w:t>
      </w:r>
      <w:r w:rsidR="00544BB3" w:rsidRPr="00FC659E">
        <w:rPr>
          <w:rFonts w:ascii="Arial" w:hAnsi="Arial" w:cs="Arial"/>
          <w:b/>
          <w:color w:val="2F5496" w:themeColor="accent5" w:themeShade="BF"/>
          <w:sz w:val="20"/>
          <w:szCs w:val="20"/>
        </w:rPr>
        <w:t>(01) 703-528-5000</w:t>
      </w:r>
    </w:p>
    <w:p w:rsidR="00544BB3" w:rsidRPr="00FC659E" w:rsidRDefault="005015C5" w:rsidP="005015C5">
      <w:pPr>
        <w:tabs>
          <w:tab w:val="left" w:pos="936"/>
          <w:tab w:val="left" w:pos="1710"/>
          <w:tab w:val="right" w:pos="9360"/>
        </w:tabs>
        <w:spacing w:after="0" w:line="240" w:lineRule="auto"/>
        <w:ind w:right="-547"/>
        <w:rPr>
          <w:rFonts w:ascii="Arial" w:hAnsi="Arial" w:cs="Arial"/>
          <w:b/>
          <w:i/>
          <w:color w:val="2F5496" w:themeColor="accent5" w:themeShade="BF"/>
          <w:sz w:val="20"/>
          <w:szCs w:val="20"/>
        </w:rPr>
      </w:pPr>
      <w:r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ab/>
      </w:r>
      <w:r w:rsidR="00544BB3" w:rsidRPr="00FC659E"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>Falls Church, VA 22042</w:t>
      </w:r>
      <w:r>
        <w:rPr>
          <w:rFonts w:ascii="Arial" w:hAnsi="Arial" w:cs="Arial"/>
          <w:b/>
          <w:i/>
          <w:color w:val="2F5496" w:themeColor="accent5" w:themeShade="BF"/>
          <w:sz w:val="20"/>
          <w:szCs w:val="20"/>
        </w:rPr>
        <w:tab/>
      </w:r>
      <w:r w:rsidR="00544BB3" w:rsidRPr="00FC659E">
        <w:rPr>
          <w:rFonts w:ascii="Arial" w:hAnsi="Arial" w:cs="Arial"/>
          <w:b/>
          <w:color w:val="2F5496" w:themeColor="accent5" w:themeShade="BF"/>
          <w:sz w:val="20"/>
          <w:szCs w:val="20"/>
        </w:rPr>
        <w:t xml:space="preserve">e-mail:  </w:t>
      </w:r>
      <w:hyperlink r:id="rId5" w:history="1">
        <w:r w:rsidR="00544BB3" w:rsidRPr="009B51B5">
          <w:rPr>
            <w:rStyle w:val="Hyperlink"/>
            <w:rFonts w:ascii="Arial" w:hAnsi="Arial" w:cs="Arial"/>
            <w:b/>
            <w:sz w:val="20"/>
            <w:szCs w:val="20"/>
          </w:rPr>
          <w:t>dreno@chiropractic.org</w:t>
        </w:r>
      </w:hyperlink>
    </w:p>
    <w:p w:rsidR="00544BB3" w:rsidRDefault="00544BB3" w:rsidP="00544BB3">
      <w:pPr>
        <w:spacing w:after="0" w:line="240" w:lineRule="auto"/>
        <w:ind w:left="-630" w:right="-540"/>
        <w:jc w:val="center"/>
        <w:rPr>
          <w:rFonts w:ascii="Arial" w:hAnsi="Arial" w:cs="Arial"/>
          <w:b/>
          <w:color w:val="2F5496" w:themeColor="accent5" w:themeShade="BF"/>
          <w:sz w:val="40"/>
          <w:szCs w:val="40"/>
        </w:rPr>
      </w:pPr>
    </w:p>
    <w:p w:rsidR="00544BB3" w:rsidRPr="00544BB3" w:rsidRDefault="00544BB3" w:rsidP="00544BB3">
      <w:pPr>
        <w:spacing w:after="0" w:line="240" w:lineRule="auto"/>
        <w:ind w:left="-630" w:right="-540"/>
        <w:jc w:val="center"/>
        <w:rPr>
          <w:rFonts w:ascii="Arial" w:hAnsi="Arial" w:cs="Arial"/>
          <w:b/>
          <w:color w:val="2F5496" w:themeColor="accent5" w:themeShade="BF"/>
          <w:sz w:val="40"/>
          <w:szCs w:val="40"/>
        </w:rPr>
      </w:pPr>
      <w:r w:rsidRPr="00544BB3">
        <w:t xml:space="preserve"> </w:t>
      </w:r>
      <w:r w:rsidRPr="00544BB3">
        <w:rPr>
          <w:rFonts w:ascii="Arial" w:hAnsi="Arial" w:cs="Arial"/>
          <w:b/>
          <w:color w:val="2F5496" w:themeColor="accent5" w:themeShade="BF"/>
          <w:sz w:val="40"/>
          <w:szCs w:val="40"/>
        </w:rPr>
        <w:t>CCE Agrees to Serious Discussions</w:t>
      </w:r>
    </w:p>
    <w:p w:rsidR="00544BB3" w:rsidRPr="002A498E" w:rsidRDefault="00544BB3" w:rsidP="00544BB3">
      <w:pPr>
        <w:spacing w:after="0" w:line="240" w:lineRule="auto"/>
        <w:ind w:left="-630" w:right="-540"/>
        <w:jc w:val="center"/>
        <w:rPr>
          <w:rFonts w:ascii="Arial" w:hAnsi="Arial" w:cs="Arial"/>
          <w:b/>
          <w:color w:val="2F5496" w:themeColor="accent5" w:themeShade="BF"/>
          <w:sz w:val="40"/>
          <w:szCs w:val="40"/>
        </w:rPr>
      </w:pPr>
      <w:r w:rsidRPr="00544BB3">
        <w:rPr>
          <w:rFonts w:ascii="Arial" w:hAnsi="Arial" w:cs="Arial"/>
          <w:b/>
          <w:color w:val="2F5496" w:themeColor="accent5" w:themeShade="BF"/>
          <w:sz w:val="40"/>
          <w:szCs w:val="40"/>
        </w:rPr>
        <w:t xml:space="preserve">  On Governance Reform</w:t>
      </w:r>
    </w:p>
    <w:p w:rsidR="00544BB3" w:rsidRPr="002A498E" w:rsidRDefault="00544BB3" w:rsidP="00544BB3">
      <w:pPr>
        <w:spacing w:after="0" w:line="240" w:lineRule="auto"/>
        <w:ind w:left="-360" w:right="-360"/>
        <w:rPr>
          <w:rFonts w:ascii="Arial" w:hAnsi="Arial" w:cs="Arial"/>
          <w:sz w:val="16"/>
          <w:szCs w:val="16"/>
        </w:rPr>
      </w:pPr>
    </w:p>
    <w:p w:rsidR="00EC5E11" w:rsidRPr="009C35D2" w:rsidRDefault="00EC5E11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795667" w:rsidRDefault="009C35D2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b/>
          <w:sz w:val="23"/>
          <w:szCs w:val="23"/>
        </w:rPr>
        <w:t>Falls Church, Virginia, November 1</w:t>
      </w:r>
      <w:r w:rsidR="00544BB3">
        <w:rPr>
          <w:rFonts w:ascii="Arial" w:hAnsi="Arial" w:cs="Arial"/>
          <w:b/>
          <w:sz w:val="23"/>
          <w:szCs w:val="23"/>
        </w:rPr>
        <w:t>5</w:t>
      </w:r>
      <w:r w:rsidRPr="009C35D2">
        <w:rPr>
          <w:rFonts w:ascii="Arial" w:hAnsi="Arial" w:cs="Arial"/>
          <w:b/>
          <w:sz w:val="23"/>
          <w:szCs w:val="23"/>
        </w:rPr>
        <w:t>, 2013:</w:t>
      </w:r>
      <w:r>
        <w:rPr>
          <w:rFonts w:ascii="Arial" w:hAnsi="Arial" w:cs="Arial"/>
          <w:sz w:val="23"/>
          <w:szCs w:val="23"/>
        </w:rPr>
        <w:t xml:space="preserve">  </w:t>
      </w:r>
      <w:r w:rsidR="00EC5E11" w:rsidRPr="009C35D2">
        <w:rPr>
          <w:rFonts w:ascii="Arial" w:hAnsi="Arial" w:cs="Arial"/>
          <w:sz w:val="23"/>
          <w:szCs w:val="23"/>
        </w:rPr>
        <w:t>Senior leaders of the Council on Chiropractic Education (CCE) have extended a public offer to the International Chiropractors Association (ICA)</w:t>
      </w:r>
      <w:r w:rsidR="00E64BFD">
        <w:rPr>
          <w:rFonts w:ascii="Arial" w:hAnsi="Arial" w:cs="Arial"/>
          <w:sz w:val="23"/>
          <w:szCs w:val="23"/>
        </w:rPr>
        <w:t xml:space="preserve"> and other Summit Roundtable members</w:t>
      </w:r>
      <w:r w:rsidR="00EC5E11" w:rsidRPr="009C35D2">
        <w:rPr>
          <w:rFonts w:ascii="Arial" w:hAnsi="Arial" w:cs="Arial"/>
          <w:sz w:val="23"/>
          <w:szCs w:val="23"/>
        </w:rPr>
        <w:t xml:space="preserve"> to engage in </w:t>
      </w:r>
      <w:r w:rsidR="002C7053" w:rsidRPr="009C35D2">
        <w:rPr>
          <w:rFonts w:ascii="Arial" w:hAnsi="Arial" w:cs="Arial"/>
          <w:sz w:val="23"/>
          <w:szCs w:val="23"/>
        </w:rPr>
        <w:t>detailed talks</w:t>
      </w:r>
      <w:r w:rsidR="00EC5E11" w:rsidRPr="009C35D2">
        <w:rPr>
          <w:rFonts w:ascii="Arial" w:hAnsi="Arial" w:cs="Arial"/>
          <w:sz w:val="23"/>
          <w:szCs w:val="23"/>
        </w:rPr>
        <w:t xml:space="preserve"> on the reform of the CCE’s governance structure in response to ongoing expressions of concern by ICA and other organizations over issues of fairness and representation in the current </w:t>
      </w:r>
      <w:r w:rsidR="00E64BFD">
        <w:rPr>
          <w:rFonts w:ascii="Arial" w:hAnsi="Arial" w:cs="Arial"/>
          <w:sz w:val="23"/>
          <w:szCs w:val="23"/>
        </w:rPr>
        <w:t>CCE</w:t>
      </w:r>
      <w:r w:rsidR="00EC5E11" w:rsidRPr="009C35D2">
        <w:rPr>
          <w:rFonts w:ascii="Arial" w:hAnsi="Arial" w:cs="Arial"/>
          <w:sz w:val="23"/>
          <w:szCs w:val="23"/>
        </w:rPr>
        <w:t xml:space="preserve"> </w:t>
      </w:r>
      <w:r w:rsidR="00E64BFD">
        <w:rPr>
          <w:rFonts w:ascii="Arial" w:hAnsi="Arial" w:cs="Arial"/>
          <w:sz w:val="23"/>
          <w:szCs w:val="23"/>
        </w:rPr>
        <w:t>structure</w:t>
      </w:r>
      <w:r w:rsidR="00EC5E11" w:rsidRPr="009C35D2">
        <w:rPr>
          <w:rFonts w:ascii="Arial" w:hAnsi="Arial" w:cs="Arial"/>
          <w:sz w:val="23"/>
          <w:szCs w:val="23"/>
        </w:rPr>
        <w:t>.  This offer was first extended a</w:t>
      </w:r>
      <w:r w:rsidR="005E0A12" w:rsidRPr="009C35D2">
        <w:rPr>
          <w:rFonts w:ascii="Arial" w:hAnsi="Arial" w:cs="Arial"/>
          <w:sz w:val="23"/>
          <w:szCs w:val="23"/>
        </w:rPr>
        <w:t>t</w:t>
      </w:r>
      <w:r w:rsidR="00EC5E11" w:rsidRPr="009C35D2">
        <w:rPr>
          <w:rFonts w:ascii="Arial" w:hAnsi="Arial" w:cs="Arial"/>
          <w:sz w:val="23"/>
          <w:szCs w:val="23"/>
        </w:rPr>
        <w:t xml:space="preserve"> a meeting of the Chiropractic Summit Roundtable in </w:t>
      </w:r>
      <w:r w:rsidR="00795667" w:rsidRPr="009C35D2">
        <w:rPr>
          <w:rFonts w:ascii="Arial" w:hAnsi="Arial" w:cs="Arial"/>
          <w:sz w:val="23"/>
          <w:szCs w:val="23"/>
        </w:rPr>
        <w:t xml:space="preserve">October in </w:t>
      </w:r>
      <w:r w:rsidR="00BE51E9">
        <w:rPr>
          <w:rFonts w:ascii="Arial" w:hAnsi="Arial" w:cs="Arial"/>
          <w:sz w:val="23"/>
          <w:szCs w:val="23"/>
        </w:rPr>
        <w:t>Atlanta, Georgia</w:t>
      </w:r>
      <w:r w:rsidR="00177534">
        <w:rPr>
          <w:rFonts w:ascii="Arial" w:hAnsi="Arial" w:cs="Arial"/>
          <w:sz w:val="23"/>
          <w:szCs w:val="23"/>
        </w:rPr>
        <w:t>.</w:t>
      </w:r>
    </w:p>
    <w:p w:rsidR="00177534" w:rsidRPr="009C35D2" w:rsidRDefault="00177534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C5E11" w:rsidRPr="009C35D2" w:rsidRDefault="00EC5E11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The Chiropractic Summit Roundtable is a group that consists of the presidents or their designees from:</w:t>
      </w:r>
      <w:bookmarkStart w:id="0" w:name="_GoBack"/>
      <w:bookmarkEnd w:id="0"/>
    </w:p>
    <w:p w:rsidR="00EC5E11" w:rsidRPr="009C35D2" w:rsidRDefault="00EC5E11" w:rsidP="00EC5E1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C5E11" w:rsidRPr="009C35D2" w:rsidRDefault="00795667" w:rsidP="00EC5E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 xml:space="preserve">The </w:t>
      </w:r>
      <w:r w:rsidR="00EC5E11" w:rsidRPr="009C35D2">
        <w:rPr>
          <w:rFonts w:ascii="Arial" w:hAnsi="Arial" w:cs="Arial"/>
          <w:sz w:val="23"/>
          <w:szCs w:val="23"/>
        </w:rPr>
        <w:t>Federation of Chiropractic Licensing Boards (FCLB)</w:t>
      </w:r>
    </w:p>
    <w:p w:rsidR="00EC5E11" w:rsidRPr="009C35D2" w:rsidRDefault="00EC5E11" w:rsidP="00EC5E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The National Board of Chiropractic Examiners (NBCE)</w:t>
      </w:r>
    </w:p>
    <w:p w:rsidR="00EC5E11" w:rsidRPr="009C35D2" w:rsidRDefault="00EC5E11" w:rsidP="00EC5E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The International Chiropractors Association (ICA)</w:t>
      </w:r>
    </w:p>
    <w:p w:rsidR="00EC5E11" w:rsidRPr="009C35D2" w:rsidRDefault="00EC5E11" w:rsidP="00EC5E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The Association of Chiropractic Colleges (ACC)</w:t>
      </w:r>
    </w:p>
    <w:p w:rsidR="00EC5E11" w:rsidRPr="009C35D2" w:rsidRDefault="00EC5E11" w:rsidP="00EC5E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The Congress of Chiropractic State Associations (COCSA)</w:t>
      </w:r>
    </w:p>
    <w:p w:rsidR="00EC5E11" w:rsidRPr="009C35D2" w:rsidRDefault="00EC5E11" w:rsidP="00EC5E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The American Chiropractic Association (ACA)</w:t>
      </w:r>
    </w:p>
    <w:p w:rsidR="00EC5E11" w:rsidRPr="009C35D2" w:rsidRDefault="00EC5E11" w:rsidP="00EC5E11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The Council on Chiropractic Education (CCE)</w:t>
      </w:r>
    </w:p>
    <w:p w:rsidR="00EC5E11" w:rsidRPr="009C35D2" w:rsidRDefault="00EC5E11" w:rsidP="00EC5E1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C5E11" w:rsidRPr="009C35D2" w:rsidRDefault="00EC5E11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 xml:space="preserve">The purpose of this smaller working group </w:t>
      </w:r>
      <w:r w:rsidR="00D31338">
        <w:rPr>
          <w:rFonts w:ascii="Arial" w:hAnsi="Arial" w:cs="Arial"/>
          <w:sz w:val="23"/>
          <w:szCs w:val="23"/>
        </w:rPr>
        <w:t>i</w:t>
      </w:r>
      <w:r w:rsidRPr="009C35D2">
        <w:rPr>
          <w:rFonts w:ascii="Arial" w:hAnsi="Arial" w:cs="Arial"/>
          <w:sz w:val="23"/>
          <w:szCs w:val="23"/>
        </w:rPr>
        <w:t xml:space="preserve">s to provide a forum to address potentially divisive and controversial issues outside the 40-plus member organization Summit general meetings. </w:t>
      </w:r>
    </w:p>
    <w:p w:rsidR="00EC5E11" w:rsidRPr="009C35D2" w:rsidRDefault="00EC5E11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C5E11" w:rsidRPr="009C35D2" w:rsidRDefault="00795667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 xml:space="preserve">ICA President </w:t>
      </w:r>
      <w:r w:rsidR="00EC5E11" w:rsidRPr="009C35D2">
        <w:rPr>
          <w:rFonts w:ascii="Arial" w:hAnsi="Arial" w:cs="Arial"/>
          <w:sz w:val="23"/>
          <w:szCs w:val="23"/>
        </w:rPr>
        <w:t xml:space="preserve">Dr. </w:t>
      </w:r>
      <w:r w:rsidRPr="009C35D2">
        <w:rPr>
          <w:rFonts w:ascii="Arial" w:hAnsi="Arial" w:cs="Arial"/>
          <w:sz w:val="23"/>
          <w:szCs w:val="23"/>
        </w:rPr>
        <w:t xml:space="preserve">Michael S. </w:t>
      </w:r>
      <w:r w:rsidR="00EC5E11" w:rsidRPr="009C35D2">
        <w:rPr>
          <w:rFonts w:ascii="Arial" w:hAnsi="Arial" w:cs="Arial"/>
          <w:sz w:val="23"/>
          <w:szCs w:val="23"/>
        </w:rPr>
        <w:t xml:space="preserve">McLean </w:t>
      </w:r>
      <w:r w:rsidRPr="009C35D2">
        <w:rPr>
          <w:rFonts w:ascii="Arial" w:hAnsi="Arial" w:cs="Arial"/>
          <w:sz w:val="23"/>
          <w:szCs w:val="23"/>
        </w:rPr>
        <w:t xml:space="preserve">and ICA representative to the Summit Steering Committee Dr. Stephen P. </w:t>
      </w:r>
      <w:r w:rsidR="005F1B18" w:rsidRPr="009C35D2">
        <w:rPr>
          <w:rFonts w:ascii="Arial" w:hAnsi="Arial" w:cs="Arial"/>
          <w:sz w:val="23"/>
          <w:szCs w:val="23"/>
        </w:rPr>
        <w:t>W</w:t>
      </w:r>
      <w:r w:rsidRPr="009C35D2">
        <w:rPr>
          <w:rFonts w:ascii="Arial" w:hAnsi="Arial" w:cs="Arial"/>
          <w:sz w:val="23"/>
          <w:szCs w:val="23"/>
        </w:rPr>
        <w:t xml:space="preserve">elsh </w:t>
      </w:r>
      <w:r w:rsidR="00EC5E11" w:rsidRPr="009C35D2">
        <w:rPr>
          <w:rFonts w:ascii="Arial" w:hAnsi="Arial" w:cs="Arial"/>
          <w:sz w:val="23"/>
          <w:szCs w:val="23"/>
        </w:rPr>
        <w:t xml:space="preserve">represented </w:t>
      </w:r>
      <w:r w:rsidRPr="009C35D2">
        <w:rPr>
          <w:rFonts w:ascii="Arial" w:hAnsi="Arial" w:cs="Arial"/>
          <w:sz w:val="23"/>
          <w:szCs w:val="23"/>
        </w:rPr>
        <w:t xml:space="preserve">ICA </w:t>
      </w:r>
      <w:r w:rsidR="00EC5E11" w:rsidRPr="009C35D2">
        <w:rPr>
          <w:rFonts w:ascii="Arial" w:hAnsi="Arial" w:cs="Arial"/>
          <w:sz w:val="23"/>
          <w:szCs w:val="23"/>
        </w:rPr>
        <w:t xml:space="preserve">at the Round Table </w:t>
      </w:r>
      <w:r w:rsidRPr="009C35D2">
        <w:rPr>
          <w:rFonts w:ascii="Arial" w:hAnsi="Arial" w:cs="Arial"/>
          <w:sz w:val="23"/>
          <w:szCs w:val="23"/>
        </w:rPr>
        <w:t>recently convened in</w:t>
      </w:r>
      <w:r w:rsidR="00EC5E11" w:rsidRPr="009C35D2">
        <w:rPr>
          <w:rFonts w:ascii="Arial" w:hAnsi="Arial" w:cs="Arial"/>
          <w:sz w:val="23"/>
          <w:szCs w:val="23"/>
        </w:rPr>
        <w:t xml:space="preserve"> Atlanta, Georgia.  </w:t>
      </w:r>
      <w:r w:rsidRPr="009C35D2">
        <w:rPr>
          <w:rFonts w:ascii="Arial" w:hAnsi="Arial" w:cs="Arial"/>
          <w:sz w:val="23"/>
          <w:szCs w:val="23"/>
        </w:rPr>
        <w:t xml:space="preserve">At that meeting, </w:t>
      </w:r>
      <w:r w:rsidR="00EC5E11" w:rsidRPr="009C35D2">
        <w:rPr>
          <w:rFonts w:ascii="Arial" w:hAnsi="Arial" w:cs="Arial"/>
          <w:sz w:val="23"/>
          <w:szCs w:val="23"/>
        </w:rPr>
        <w:t xml:space="preserve">grave concern was expressed not only by the CCE representatives but also other organizations since the temporary re-recognition that was provided by the </w:t>
      </w:r>
      <w:r w:rsidR="005F1B18" w:rsidRPr="009C35D2">
        <w:rPr>
          <w:rFonts w:ascii="Arial" w:hAnsi="Arial" w:cs="Arial"/>
          <w:sz w:val="23"/>
          <w:szCs w:val="23"/>
        </w:rPr>
        <w:t>US Department of Education (</w:t>
      </w:r>
      <w:r w:rsidR="00EC5E11" w:rsidRPr="009C35D2">
        <w:rPr>
          <w:rFonts w:ascii="Arial" w:hAnsi="Arial" w:cs="Arial"/>
          <w:sz w:val="23"/>
          <w:szCs w:val="23"/>
        </w:rPr>
        <w:t>USDE</w:t>
      </w:r>
      <w:r w:rsidR="005F1B18" w:rsidRPr="009C35D2">
        <w:rPr>
          <w:rFonts w:ascii="Arial" w:hAnsi="Arial" w:cs="Arial"/>
          <w:sz w:val="23"/>
          <w:szCs w:val="23"/>
        </w:rPr>
        <w:t>)</w:t>
      </w:r>
      <w:r w:rsidR="00EC5E11" w:rsidRPr="009C35D2">
        <w:rPr>
          <w:rFonts w:ascii="Arial" w:hAnsi="Arial" w:cs="Arial"/>
          <w:sz w:val="23"/>
          <w:szCs w:val="23"/>
        </w:rPr>
        <w:t xml:space="preserve"> two years ago </w:t>
      </w:r>
      <w:r w:rsidR="00D31338">
        <w:rPr>
          <w:rFonts w:ascii="Arial" w:hAnsi="Arial" w:cs="Arial"/>
          <w:sz w:val="23"/>
          <w:szCs w:val="23"/>
        </w:rPr>
        <w:t>i</w:t>
      </w:r>
      <w:r w:rsidR="00EC5E11" w:rsidRPr="009C35D2">
        <w:rPr>
          <w:rFonts w:ascii="Arial" w:hAnsi="Arial" w:cs="Arial"/>
          <w:sz w:val="23"/>
          <w:szCs w:val="23"/>
        </w:rPr>
        <w:t xml:space="preserve">s up for further consideration </w:t>
      </w:r>
      <w:r w:rsidR="00D31338">
        <w:rPr>
          <w:rFonts w:ascii="Arial" w:hAnsi="Arial" w:cs="Arial"/>
          <w:sz w:val="23"/>
          <w:szCs w:val="23"/>
        </w:rPr>
        <w:t xml:space="preserve">in 2013 </w:t>
      </w:r>
      <w:r w:rsidR="00EC5E11" w:rsidRPr="009C35D2">
        <w:rPr>
          <w:rFonts w:ascii="Arial" w:hAnsi="Arial" w:cs="Arial"/>
          <w:sz w:val="23"/>
          <w:szCs w:val="23"/>
        </w:rPr>
        <w:t>and that the option</w:t>
      </w:r>
      <w:r w:rsidR="005F1B18" w:rsidRPr="009C35D2">
        <w:rPr>
          <w:rFonts w:ascii="Arial" w:hAnsi="Arial" w:cs="Arial"/>
          <w:sz w:val="23"/>
          <w:szCs w:val="23"/>
        </w:rPr>
        <w:t>s</w:t>
      </w:r>
      <w:r w:rsidR="00EC5E11" w:rsidRPr="009C35D2">
        <w:rPr>
          <w:rFonts w:ascii="Arial" w:hAnsi="Arial" w:cs="Arial"/>
          <w:sz w:val="23"/>
          <w:szCs w:val="23"/>
        </w:rPr>
        <w:t xml:space="preserve"> for the </w:t>
      </w:r>
      <w:r w:rsidR="005F1B18" w:rsidRPr="009C35D2">
        <w:rPr>
          <w:rFonts w:ascii="Arial" w:hAnsi="Arial" w:cs="Arial"/>
          <w:sz w:val="23"/>
          <w:szCs w:val="23"/>
        </w:rPr>
        <w:t>National Advisory Committee on Institutional Quality and Integrity (</w:t>
      </w:r>
      <w:r w:rsidR="00EC5E11" w:rsidRPr="009C35D2">
        <w:rPr>
          <w:rFonts w:ascii="Arial" w:hAnsi="Arial" w:cs="Arial"/>
          <w:sz w:val="23"/>
          <w:szCs w:val="23"/>
        </w:rPr>
        <w:t>NACIQI</w:t>
      </w:r>
      <w:r w:rsidR="005F1B18" w:rsidRPr="009C35D2">
        <w:rPr>
          <w:rFonts w:ascii="Arial" w:hAnsi="Arial" w:cs="Arial"/>
          <w:sz w:val="23"/>
          <w:szCs w:val="23"/>
        </w:rPr>
        <w:t>)</w:t>
      </w:r>
      <w:r w:rsidR="00EC5E11" w:rsidRPr="009C35D2">
        <w:rPr>
          <w:rFonts w:ascii="Arial" w:hAnsi="Arial" w:cs="Arial"/>
          <w:sz w:val="23"/>
          <w:szCs w:val="23"/>
        </w:rPr>
        <w:t xml:space="preserve"> to further extend such probation w</w:t>
      </w:r>
      <w:r w:rsidR="005F1B18" w:rsidRPr="009C35D2">
        <w:rPr>
          <w:rFonts w:ascii="Arial" w:hAnsi="Arial" w:cs="Arial"/>
          <w:sz w:val="23"/>
          <w:szCs w:val="23"/>
        </w:rPr>
        <w:t>ere</w:t>
      </w:r>
      <w:r w:rsidR="00EC5E11" w:rsidRPr="009C35D2">
        <w:rPr>
          <w:rFonts w:ascii="Arial" w:hAnsi="Arial" w:cs="Arial"/>
          <w:sz w:val="23"/>
          <w:szCs w:val="23"/>
        </w:rPr>
        <w:t xml:space="preserve"> limited</w:t>
      </w:r>
      <w:r w:rsidR="005F1B18" w:rsidRPr="009C35D2">
        <w:rPr>
          <w:rFonts w:ascii="Arial" w:hAnsi="Arial" w:cs="Arial"/>
          <w:sz w:val="23"/>
          <w:szCs w:val="23"/>
        </w:rPr>
        <w:t xml:space="preserve">.  Thus, there was concern that the NACIQI Committee vote scheduled for Washington DC this coming </w:t>
      </w:r>
      <w:r w:rsidR="00EC5E11" w:rsidRPr="009C35D2">
        <w:rPr>
          <w:rFonts w:ascii="Arial" w:hAnsi="Arial" w:cs="Arial"/>
          <w:sz w:val="23"/>
          <w:szCs w:val="23"/>
        </w:rPr>
        <w:t>December was likely to be a straight up or down vote.</w:t>
      </w:r>
    </w:p>
    <w:p w:rsidR="00EC5E11" w:rsidRPr="009C35D2" w:rsidRDefault="00EC5E11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C5E11" w:rsidRDefault="005F1B18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“</w:t>
      </w:r>
      <w:r w:rsidR="00EC5E11" w:rsidRPr="009C35D2">
        <w:rPr>
          <w:rFonts w:ascii="Arial" w:hAnsi="Arial" w:cs="Arial"/>
          <w:sz w:val="23"/>
          <w:szCs w:val="23"/>
        </w:rPr>
        <w:t xml:space="preserve">CCE representatives at the </w:t>
      </w:r>
      <w:r w:rsidR="00E64BFD">
        <w:rPr>
          <w:rFonts w:ascii="Arial" w:hAnsi="Arial" w:cs="Arial"/>
          <w:sz w:val="23"/>
          <w:szCs w:val="23"/>
        </w:rPr>
        <w:t>recent Atlanta meeting</w:t>
      </w:r>
      <w:r w:rsidR="00EC5E11" w:rsidRPr="009C35D2">
        <w:rPr>
          <w:rFonts w:ascii="Arial" w:hAnsi="Arial" w:cs="Arial"/>
          <w:sz w:val="23"/>
          <w:szCs w:val="23"/>
        </w:rPr>
        <w:t xml:space="preserve"> offered to enter into discussions on ICA’s governance concerns</w:t>
      </w:r>
      <w:r w:rsidR="005E0A12" w:rsidRPr="009C35D2">
        <w:rPr>
          <w:rFonts w:ascii="Arial" w:hAnsi="Arial" w:cs="Arial"/>
          <w:sz w:val="23"/>
          <w:szCs w:val="23"/>
        </w:rPr>
        <w:t xml:space="preserve">, </w:t>
      </w:r>
      <w:r w:rsidR="00D31338">
        <w:rPr>
          <w:rFonts w:ascii="Arial" w:hAnsi="Arial" w:cs="Arial"/>
          <w:sz w:val="23"/>
          <w:szCs w:val="23"/>
        </w:rPr>
        <w:t>with the participation of</w:t>
      </w:r>
      <w:r w:rsidR="00EC5E11" w:rsidRPr="009C35D2">
        <w:rPr>
          <w:rFonts w:ascii="Arial" w:hAnsi="Arial" w:cs="Arial"/>
          <w:sz w:val="23"/>
          <w:szCs w:val="23"/>
        </w:rPr>
        <w:t xml:space="preserve"> the member organizations of the Round Table.</w:t>
      </w:r>
      <w:r w:rsidR="005E0A12" w:rsidRPr="009C35D2">
        <w:rPr>
          <w:rFonts w:ascii="Arial" w:hAnsi="Arial" w:cs="Arial"/>
          <w:sz w:val="23"/>
          <w:szCs w:val="23"/>
        </w:rPr>
        <w:t>” said Dr. McLean.  “</w:t>
      </w:r>
      <w:r w:rsidR="00E64BFD">
        <w:rPr>
          <w:rFonts w:ascii="Arial" w:hAnsi="Arial" w:cs="Arial"/>
          <w:sz w:val="23"/>
          <w:szCs w:val="23"/>
        </w:rPr>
        <w:t xml:space="preserve">This offer was accepted at the Summit meeting </w:t>
      </w:r>
      <w:r w:rsidR="005E0A12" w:rsidRPr="009C35D2">
        <w:rPr>
          <w:rFonts w:ascii="Arial" w:hAnsi="Arial" w:cs="Arial"/>
          <w:sz w:val="23"/>
          <w:szCs w:val="23"/>
        </w:rPr>
        <w:t xml:space="preserve">in Seattle, </w:t>
      </w:r>
      <w:r w:rsidR="00177534" w:rsidRPr="009C35D2">
        <w:rPr>
          <w:rFonts w:ascii="Arial" w:hAnsi="Arial" w:cs="Arial"/>
          <w:sz w:val="23"/>
          <w:szCs w:val="23"/>
        </w:rPr>
        <w:t>on November 7, 2013</w:t>
      </w:r>
      <w:r w:rsidR="00177534">
        <w:rPr>
          <w:rFonts w:ascii="Arial" w:hAnsi="Arial" w:cs="Arial"/>
          <w:sz w:val="23"/>
          <w:szCs w:val="23"/>
        </w:rPr>
        <w:t xml:space="preserve">, </w:t>
      </w:r>
      <w:r w:rsidR="005E0A12" w:rsidRPr="009C35D2">
        <w:rPr>
          <w:rFonts w:ascii="Arial" w:hAnsi="Arial" w:cs="Arial"/>
          <w:sz w:val="23"/>
          <w:szCs w:val="23"/>
        </w:rPr>
        <w:t>with numer</w:t>
      </w:r>
      <w:r w:rsidR="00E64BFD">
        <w:rPr>
          <w:rFonts w:ascii="Arial" w:hAnsi="Arial" w:cs="Arial"/>
          <w:sz w:val="23"/>
          <w:szCs w:val="23"/>
        </w:rPr>
        <w:t>ous Summit organizations public</w:t>
      </w:r>
      <w:r w:rsidR="005E0A12" w:rsidRPr="009C35D2">
        <w:rPr>
          <w:rFonts w:ascii="Arial" w:hAnsi="Arial" w:cs="Arial"/>
          <w:sz w:val="23"/>
          <w:szCs w:val="23"/>
        </w:rPr>
        <w:t>ly voicing their support for such a dialogue</w:t>
      </w:r>
      <w:r w:rsidR="00EC5E11" w:rsidRPr="009C35D2">
        <w:rPr>
          <w:rFonts w:ascii="Arial" w:hAnsi="Arial" w:cs="Arial"/>
          <w:sz w:val="23"/>
          <w:szCs w:val="23"/>
        </w:rPr>
        <w:t xml:space="preserve">.  On the basis of this offer, ICA </w:t>
      </w:r>
      <w:r w:rsidR="005E0A12" w:rsidRPr="009C35D2">
        <w:rPr>
          <w:rFonts w:ascii="Arial" w:hAnsi="Arial" w:cs="Arial"/>
          <w:sz w:val="23"/>
          <w:szCs w:val="23"/>
        </w:rPr>
        <w:t>has agre</w:t>
      </w:r>
      <w:r w:rsidR="00E64BFD">
        <w:rPr>
          <w:rFonts w:ascii="Arial" w:hAnsi="Arial" w:cs="Arial"/>
          <w:sz w:val="23"/>
          <w:szCs w:val="23"/>
        </w:rPr>
        <w:t>ed to enter into reform discussions with the goal being an electoral process more representative of the mainstream of chiropractic.</w:t>
      </w:r>
      <w:r w:rsidR="005E0A12" w:rsidRPr="009C35D2">
        <w:rPr>
          <w:rFonts w:ascii="Arial" w:hAnsi="Arial" w:cs="Arial"/>
          <w:sz w:val="23"/>
          <w:szCs w:val="23"/>
        </w:rPr>
        <w:t>”</w:t>
      </w:r>
      <w:r w:rsidR="00EC5E11" w:rsidRPr="009C35D2">
        <w:rPr>
          <w:rFonts w:ascii="Arial" w:hAnsi="Arial" w:cs="Arial"/>
          <w:sz w:val="23"/>
          <w:szCs w:val="23"/>
        </w:rPr>
        <w:t xml:space="preserve">  </w:t>
      </w:r>
    </w:p>
    <w:p w:rsidR="00D31338" w:rsidRPr="009C35D2" w:rsidRDefault="00D31338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5015C5" w:rsidRDefault="005015C5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5015C5" w:rsidRDefault="005015C5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EC5E11" w:rsidRPr="009C35D2" w:rsidRDefault="003B17AC" w:rsidP="00EC5E11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ICA is also aware of a greater context in which the status of the CCE with the federal government should be considered.  T</w:t>
      </w:r>
      <w:r w:rsidR="00EC5E11" w:rsidRPr="009C35D2">
        <w:rPr>
          <w:rFonts w:ascii="Arial" w:hAnsi="Arial" w:cs="Arial"/>
          <w:sz w:val="23"/>
          <w:szCs w:val="23"/>
        </w:rPr>
        <w:t xml:space="preserve">he current </w:t>
      </w:r>
      <w:r w:rsidRPr="009C35D2">
        <w:rPr>
          <w:rFonts w:ascii="Arial" w:hAnsi="Arial" w:cs="Arial"/>
          <w:sz w:val="23"/>
          <w:szCs w:val="23"/>
        </w:rPr>
        <w:t xml:space="preserve">national administration is </w:t>
      </w:r>
      <w:r w:rsidR="00EC5E11" w:rsidRPr="009C35D2">
        <w:rPr>
          <w:rFonts w:ascii="Arial" w:hAnsi="Arial" w:cs="Arial"/>
          <w:sz w:val="23"/>
          <w:szCs w:val="23"/>
        </w:rPr>
        <w:t xml:space="preserve">not one which </w:t>
      </w:r>
      <w:r w:rsidRPr="009C35D2">
        <w:rPr>
          <w:rFonts w:ascii="Arial" w:hAnsi="Arial" w:cs="Arial"/>
          <w:sz w:val="23"/>
          <w:szCs w:val="23"/>
        </w:rPr>
        <w:t xml:space="preserve">has demonstrated any significant level of support for the </w:t>
      </w:r>
      <w:r w:rsidR="00EC5E11" w:rsidRPr="009C35D2">
        <w:rPr>
          <w:rFonts w:ascii="Arial" w:hAnsi="Arial" w:cs="Arial"/>
          <w:sz w:val="23"/>
          <w:szCs w:val="23"/>
        </w:rPr>
        <w:t>chiropractic profession</w:t>
      </w:r>
      <w:r w:rsidR="00C122A4">
        <w:rPr>
          <w:rFonts w:ascii="Arial" w:hAnsi="Arial" w:cs="Arial"/>
          <w:sz w:val="23"/>
          <w:szCs w:val="23"/>
        </w:rPr>
        <w:t xml:space="preserve">.  For example, </w:t>
      </w:r>
      <w:r w:rsidR="00EC5E11" w:rsidRPr="009C35D2">
        <w:rPr>
          <w:rFonts w:ascii="Arial" w:hAnsi="Arial" w:cs="Arial"/>
          <w:sz w:val="23"/>
          <w:szCs w:val="23"/>
        </w:rPr>
        <w:t>chiropractic</w:t>
      </w:r>
      <w:r w:rsidR="00C122A4">
        <w:rPr>
          <w:rFonts w:ascii="Arial" w:hAnsi="Arial" w:cs="Arial"/>
          <w:sz w:val="23"/>
          <w:szCs w:val="23"/>
        </w:rPr>
        <w:t xml:space="preserve"> is not included</w:t>
      </w:r>
      <w:r w:rsidR="00EC5E11" w:rsidRPr="009C35D2">
        <w:rPr>
          <w:rFonts w:ascii="Arial" w:hAnsi="Arial" w:cs="Arial"/>
          <w:sz w:val="23"/>
          <w:szCs w:val="23"/>
        </w:rPr>
        <w:t xml:space="preserve"> as an essential benefit in the health</w:t>
      </w:r>
      <w:r w:rsidR="00D31338">
        <w:rPr>
          <w:rFonts w:ascii="Arial" w:hAnsi="Arial" w:cs="Arial"/>
          <w:sz w:val="23"/>
          <w:szCs w:val="23"/>
        </w:rPr>
        <w:t xml:space="preserve"> </w:t>
      </w:r>
      <w:r w:rsidR="00EC5E11" w:rsidRPr="009C35D2">
        <w:rPr>
          <w:rFonts w:ascii="Arial" w:hAnsi="Arial" w:cs="Arial"/>
          <w:sz w:val="23"/>
          <w:szCs w:val="23"/>
        </w:rPr>
        <w:t xml:space="preserve">care reform implementation process.  </w:t>
      </w:r>
      <w:r w:rsidRPr="009C35D2">
        <w:rPr>
          <w:rFonts w:ascii="Arial" w:hAnsi="Arial" w:cs="Arial"/>
          <w:sz w:val="23"/>
          <w:szCs w:val="23"/>
        </w:rPr>
        <w:t xml:space="preserve">ICA is deeply conscious of the reality </w:t>
      </w:r>
      <w:r w:rsidR="00EC5E11" w:rsidRPr="009C35D2">
        <w:rPr>
          <w:rFonts w:ascii="Arial" w:hAnsi="Arial" w:cs="Arial"/>
          <w:sz w:val="23"/>
          <w:szCs w:val="23"/>
        </w:rPr>
        <w:t>that chiropractic</w:t>
      </w:r>
      <w:r w:rsidRPr="009C35D2">
        <w:rPr>
          <w:rFonts w:ascii="Arial" w:hAnsi="Arial" w:cs="Arial"/>
          <w:sz w:val="23"/>
          <w:szCs w:val="23"/>
        </w:rPr>
        <w:t>’s</w:t>
      </w:r>
      <w:r w:rsidR="00BE51E9">
        <w:rPr>
          <w:rFonts w:ascii="Arial" w:hAnsi="Arial" w:cs="Arial"/>
          <w:sz w:val="23"/>
          <w:szCs w:val="23"/>
        </w:rPr>
        <w:t xml:space="preserve"> antagonists</w:t>
      </w:r>
      <w:r w:rsidR="00EC5E11" w:rsidRPr="009C35D2">
        <w:rPr>
          <w:rFonts w:ascii="Arial" w:hAnsi="Arial" w:cs="Arial"/>
          <w:sz w:val="23"/>
          <w:szCs w:val="23"/>
        </w:rPr>
        <w:t xml:space="preserve"> ha</w:t>
      </w:r>
      <w:r w:rsidRPr="009C35D2">
        <w:rPr>
          <w:rFonts w:ascii="Arial" w:hAnsi="Arial" w:cs="Arial"/>
          <w:sz w:val="23"/>
          <w:szCs w:val="23"/>
        </w:rPr>
        <w:t>ve</w:t>
      </w:r>
      <w:r w:rsidR="00EC5E11" w:rsidRPr="009C35D2">
        <w:rPr>
          <w:rFonts w:ascii="Arial" w:hAnsi="Arial" w:cs="Arial"/>
          <w:sz w:val="23"/>
          <w:szCs w:val="23"/>
        </w:rPr>
        <w:t xml:space="preserve"> set the removal of chiropractic’s federal accreditation recognition as a </w:t>
      </w:r>
      <w:r w:rsidRPr="009C35D2">
        <w:rPr>
          <w:rFonts w:ascii="Arial" w:hAnsi="Arial" w:cs="Arial"/>
          <w:sz w:val="23"/>
          <w:szCs w:val="23"/>
        </w:rPr>
        <w:t xml:space="preserve">top </w:t>
      </w:r>
      <w:r w:rsidR="00EC5E11" w:rsidRPr="009C35D2">
        <w:rPr>
          <w:rFonts w:ascii="Arial" w:hAnsi="Arial" w:cs="Arial"/>
          <w:sz w:val="23"/>
          <w:szCs w:val="23"/>
        </w:rPr>
        <w:t xml:space="preserve">goal and that this upcoming hearing and USDE committee vote </w:t>
      </w:r>
      <w:r w:rsidR="00D31338">
        <w:rPr>
          <w:rFonts w:ascii="Arial" w:hAnsi="Arial" w:cs="Arial"/>
          <w:sz w:val="23"/>
          <w:szCs w:val="23"/>
        </w:rPr>
        <w:t>are</w:t>
      </w:r>
      <w:r w:rsidR="00EC5E11" w:rsidRPr="009C35D2">
        <w:rPr>
          <w:rFonts w:ascii="Arial" w:hAnsi="Arial" w:cs="Arial"/>
          <w:sz w:val="23"/>
          <w:szCs w:val="23"/>
        </w:rPr>
        <w:t xml:space="preserve"> obvious point</w:t>
      </w:r>
      <w:r w:rsidR="00D31338">
        <w:rPr>
          <w:rFonts w:ascii="Arial" w:hAnsi="Arial" w:cs="Arial"/>
          <w:sz w:val="23"/>
          <w:szCs w:val="23"/>
        </w:rPr>
        <w:t>s</w:t>
      </w:r>
      <w:r w:rsidR="00EC5E11" w:rsidRPr="009C35D2">
        <w:rPr>
          <w:rFonts w:ascii="Arial" w:hAnsi="Arial" w:cs="Arial"/>
          <w:sz w:val="23"/>
          <w:szCs w:val="23"/>
        </w:rPr>
        <w:t xml:space="preserve"> of attack in this effort.  </w:t>
      </w:r>
    </w:p>
    <w:p w:rsidR="00EC5E11" w:rsidRPr="009C35D2" w:rsidRDefault="00EC5E11" w:rsidP="00EC5E11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EC5E11" w:rsidRPr="009C35D2" w:rsidRDefault="00BE51E9" w:rsidP="003B17AC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 a result,</w:t>
      </w:r>
      <w:r w:rsidR="003B17AC" w:rsidRPr="009C35D2">
        <w:rPr>
          <w:rFonts w:ascii="Arial" w:hAnsi="Arial" w:cs="Arial"/>
          <w:sz w:val="23"/>
          <w:szCs w:val="23"/>
        </w:rPr>
        <w:t xml:space="preserve"> the ICA has officially agreed to </w:t>
      </w:r>
      <w:r w:rsidR="00EC5E11" w:rsidRPr="009C35D2">
        <w:rPr>
          <w:rFonts w:ascii="Arial" w:hAnsi="Arial" w:cs="Arial"/>
          <w:sz w:val="23"/>
          <w:szCs w:val="23"/>
        </w:rPr>
        <w:t xml:space="preserve">take the position in its oral testimony at the upcoming hearings on the re-recognition of the CCE before the </w:t>
      </w:r>
      <w:r w:rsidR="009C35D2">
        <w:rPr>
          <w:rFonts w:ascii="Arial" w:hAnsi="Arial" w:cs="Arial"/>
          <w:sz w:val="23"/>
          <w:szCs w:val="23"/>
        </w:rPr>
        <w:t xml:space="preserve">USDE’s </w:t>
      </w:r>
      <w:r w:rsidR="00EC5E11" w:rsidRPr="009C35D2">
        <w:rPr>
          <w:rFonts w:ascii="Arial" w:hAnsi="Arial" w:cs="Arial"/>
          <w:sz w:val="23"/>
          <w:szCs w:val="23"/>
        </w:rPr>
        <w:t>NAC</w:t>
      </w:r>
      <w:r w:rsidR="00F81BBB">
        <w:rPr>
          <w:rFonts w:ascii="Arial" w:hAnsi="Arial" w:cs="Arial"/>
          <w:sz w:val="23"/>
          <w:szCs w:val="23"/>
        </w:rPr>
        <w:t>I</w:t>
      </w:r>
      <w:r w:rsidR="00EC5E11" w:rsidRPr="009C35D2">
        <w:rPr>
          <w:rFonts w:ascii="Arial" w:hAnsi="Arial" w:cs="Arial"/>
          <w:sz w:val="23"/>
          <w:szCs w:val="23"/>
        </w:rPr>
        <w:t>QI</w:t>
      </w:r>
      <w:r w:rsidR="009C35D2">
        <w:rPr>
          <w:rFonts w:ascii="Arial" w:hAnsi="Arial" w:cs="Arial"/>
          <w:sz w:val="23"/>
          <w:szCs w:val="23"/>
        </w:rPr>
        <w:t xml:space="preserve"> Committee</w:t>
      </w:r>
      <w:r w:rsidR="00EC5E11" w:rsidRPr="009C35D2">
        <w:rPr>
          <w:rFonts w:ascii="Arial" w:hAnsi="Arial" w:cs="Arial"/>
          <w:sz w:val="23"/>
          <w:szCs w:val="23"/>
        </w:rPr>
        <w:t xml:space="preserve"> that</w:t>
      </w:r>
      <w:r>
        <w:rPr>
          <w:rFonts w:ascii="Arial" w:hAnsi="Arial" w:cs="Arial"/>
          <w:sz w:val="23"/>
          <w:szCs w:val="23"/>
        </w:rPr>
        <w:t>,</w:t>
      </w:r>
      <w:r w:rsidR="00EC5E11" w:rsidRPr="009C35D2">
        <w:rPr>
          <w:rFonts w:ascii="Arial" w:hAnsi="Arial" w:cs="Arial"/>
          <w:sz w:val="23"/>
          <w:szCs w:val="23"/>
        </w:rPr>
        <w:t xml:space="preserve"> while the ICA continues to have concerns over the fairness and inclusiveness of the governance process of the CCE, as expressed and documented in its written submi</w:t>
      </w:r>
      <w:r w:rsidR="00177534">
        <w:rPr>
          <w:rFonts w:ascii="Arial" w:hAnsi="Arial" w:cs="Arial"/>
          <w:sz w:val="23"/>
          <w:szCs w:val="23"/>
        </w:rPr>
        <w:t xml:space="preserve">ssion, ICA supports re-recognition, </w:t>
      </w:r>
      <w:r w:rsidR="00EC5E11" w:rsidRPr="009C35D2">
        <w:rPr>
          <w:rFonts w:ascii="Arial" w:hAnsi="Arial" w:cs="Arial"/>
          <w:sz w:val="23"/>
          <w:szCs w:val="23"/>
        </w:rPr>
        <w:t xml:space="preserve">as the CCE has publically indicated that they are willing to work through the organizations of the Summit Round Table to study and address issues of governance.  </w:t>
      </w:r>
    </w:p>
    <w:p w:rsidR="00EC5E11" w:rsidRPr="009C35D2" w:rsidRDefault="00EC5E11" w:rsidP="00EC5E11">
      <w:pPr>
        <w:spacing w:after="0" w:line="240" w:lineRule="auto"/>
        <w:rPr>
          <w:sz w:val="23"/>
          <w:szCs w:val="23"/>
        </w:rPr>
      </w:pPr>
    </w:p>
    <w:p w:rsidR="002C7053" w:rsidRPr="009C35D2" w:rsidRDefault="002C7053" w:rsidP="002C7053">
      <w:pPr>
        <w:jc w:val="both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ICA takes its responsibilities to the chiropractic profession very seriously and we understand</w:t>
      </w:r>
      <w:r w:rsidR="00BE51E9">
        <w:rPr>
          <w:rFonts w:ascii="Arial" w:hAnsi="Arial" w:cs="Arial"/>
          <w:sz w:val="23"/>
          <w:szCs w:val="23"/>
        </w:rPr>
        <w:t xml:space="preserve"> how profoundly education</w:t>
      </w:r>
      <w:r w:rsidRPr="009C35D2">
        <w:rPr>
          <w:rFonts w:ascii="Arial" w:hAnsi="Arial" w:cs="Arial"/>
          <w:sz w:val="23"/>
          <w:szCs w:val="23"/>
        </w:rPr>
        <w:t xml:space="preserve"> supports and promotes the unique scien</w:t>
      </w:r>
      <w:r w:rsidR="00BE51E9">
        <w:rPr>
          <w:rFonts w:ascii="Arial" w:hAnsi="Arial" w:cs="Arial"/>
          <w:sz w:val="23"/>
          <w:szCs w:val="23"/>
        </w:rPr>
        <w:t>ce and practice of chiropractic</w:t>
      </w:r>
      <w:r w:rsidR="00A66A95">
        <w:rPr>
          <w:rFonts w:ascii="Arial" w:hAnsi="Arial" w:cs="Arial"/>
          <w:sz w:val="23"/>
          <w:szCs w:val="23"/>
        </w:rPr>
        <w:t>.  ICA still has other concerns with CCE Standards, notably the need to have the term “Subluxation”</w:t>
      </w:r>
      <w:r w:rsidR="00CA5029">
        <w:rPr>
          <w:rFonts w:ascii="Arial" w:hAnsi="Arial" w:cs="Arial"/>
          <w:sz w:val="23"/>
          <w:szCs w:val="23"/>
        </w:rPr>
        <w:t xml:space="preserve"> stand alone and a stronger “drug-free” statement. ICA’s</w:t>
      </w:r>
      <w:r w:rsidR="00A66A95">
        <w:rPr>
          <w:rFonts w:ascii="Arial" w:hAnsi="Arial" w:cs="Arial"/>
          <w:sz w:val="23"/>
          <w:szCs w:val="23"/>
        </w:rPr>
        <w:t xml:space="preserve"> </w:t>
      </w:r>
      <w:r w:rsidRPr="009C35D2">
        <w:rPr>
          <w:rFonts w:ascii="Arial" w:hAnsi="Arial" w:cs="Arial"/>
          <w:sz w:val="23"/>
          <w:szCs w:val="23"/>
        </w:rPr>
        <w:t xml:space="preserve">goal has always been a strong, centralized, objective, chiropractic-centered and responsible accrediting agency for chiropractic colleges, an agency that commands the respect and support of a united chiropractic profession.  </w:t>
      </w:r>
      <w:proofErr w:type="gramStart"/>
      <w:r w:rsidRPr="009C35D2">
        <w:rPr>
          <w:rFonts w:ascii="Arial" w:hAnsi="Arial" w:cs="Arial"/>
          <w:sz w:val="23"/>
          <w:szCs w:val="23"/>
        </w:rPr>
        <w:t xml:space="preserve">CCE stands today at the center of ongoing controversies, ignited by decisions and policies that </w:t>
      </w:r>
      <w:r w:rsidR="00BE51E9">
        <w:rPr>
          <w:rFonts w:ascii="Arial" w:hAnsi="Arial" w:cs="Arial"/>
          <w:sz w:val="23"/>
          <w:szCs w:val="23"/>
        </w:rPr>
        <w:t>some feel have separated</w:t>
      </w:r>
      <w:r w:rsidRPr="009C35D2">
        <w:rPr>
          <w:rFonts w:ascii="Arial" w:hAnsi="Arial" w:cs="Arial"/>
          <w:sz w:val="23"/>
          <w:szCs w:val="23"/>
        </w:rPr>
        <w:t xml:space="preserve"> the chirop</w:t>
      </w:r>
      <w:r w:rsidR="00BE51E9">
        <w:rPr>
          <w:rFonts w:ascii="Arial" w:hAnsi="Arial" w:cs="Arial"/>
          <w:sz w:val="23"/>
          <w:szCs w:val="23"/>
        </w:rPr>
        <w:t xml:space="preserve">ractic educational process </w:t>
      </w:r>
      <w:r w:rsidRPr="009C35D2">
        <w:rPr>
          <w:rFonts w:ascii="Arial" w:hAnsi="Arial" w:cs="Arial"/>
          <w:sz w:val="23"/>
          <w:szCs w:val="23"/>
        </w:rPr>
        <w:t>from the basic tenets of chiropractic.</w:t>
      </w:r>
      <w:proofErr w:type="gramEnd"/>
      <w:r w:rsidRPr="009C35D2">
        <w:rPr>
          <w:rFonts w:ascii="Arial" w:hAnsi="Arial" w:cs="Arial"/>
          <w:sz w:val="23"/>
          <w:szCs w:val="23"/>
        </w:rPr>
        <w:t xml:space="preserve">  ICA remains committed to </w:t>
      </w:r>
      <w:r w:rsidR="00BE51E9">
        <w:rPr>
          <w:rFonts w:ascii="Arial" w:hAnsi="Arial" w:cs="Arial"/>
          <w:sz w:val="23"/>
          <w:szCs w:val="23"/>
        </w:rPr>
        <w:t xml:space="preserve">securing </w:t>
      </w:r>
      <w:r w:rsidRPr="009C35D2">
        <w:rPr>
          <w:rFonts w:ascii="Arial" w:hAnsi="Arial" w:cs="Arial"/>
          <w:sz w:val="23"/>
          <w:szCs w:val="23"/>
        </w:rPr>
        <w:t>fundamental refor</w:t>
      </w:r>
      <w:r w:rsidR="00BE51E9">
        <w:rPr>
          <w:rFonts w:ascii="Arial" w:hAnsi="Arial" w:cs="Arial"/>
          <w:sz w:val="23"/>
          <w:szCs w:val="23"/>
        </w:rPr>
        <w:t>ms within the CCE and trust</w:t>
      </w:r>
      <w:r w:rsidR="000329A2">
        <w:rPr>
          <w:rFonts w:ascii="Arial" w:hAnsi="Arial" w:cs="Arial"/>
          <w:sz w:val="23"/>
          <w:szCs w:val="23"/>
        </w:rPr>
        <w:t>s</w:t>
      </w:r>
      <w:r w:rsidR="00BE51E9">
        <w:rPr>
          <w:rFonts w:ascii="Arial" w:hAnsi="Arial" w:cs="Arial"/>
          <w:sz w:val="23"/>
          <w:szCs w:val="23"/>
        </w:rPr>
        <w:t xml:space="preserve"> that the CCE pledge of</w:t>
      </w:r>
      <w:r w:rsidR="009C35D2" w:rsidRPr="009C35D2">
        <w:rPr>
          <w:rFonts w:ascii="Arial" w:hAnsi="Arial" w:cs="Arial"/>
          <w:sz w:val="23"/>
          <w:szCs w:val="23"/>
        </w:rPr>
        <w:t xml:space="preserve"> dialogue on reforming its governing structure and process</w:t>
      </w:r>
      <w:r w:rsidR="009C35D2">
        <w:rPr>
          <w:rFonts w:ascii="Arial" w:hAnsi="Arial" w:cs="Arial"/>
          <w:sz w:val="23"/>
          <w:szCs w:val="23"/>
        </w:rPr>
        <w:t>es</w:t>
      </w:r>
      <w:r w:rsidR="009C35D2" w:rsidRPr="009C35D2">
        <w:rPr>
          <w:rFonts w:ascii="Arial" w:hAnsi="Arial" w:cs="Arial"/>
          <w:sz w:val="23"/>
          <w:szCs w:val="23"/>
        </w:rPr>
        <w:t xml:space="preserve"> is a</w:t>
      </w:r>
      <w:r w:rsidR="00BE51E9">
        <w:rPr>
          <w:rFonts w:ascii="Arial" w:hAnsi="Arial" w:cs="Arial"/>
          <w:sz w:val="23"/>
          <w:szCs w:val="23"/>
        </w:rPr>
        <w:t>n effort in good faith</w:t>
      </w:r>
      <w:r w:rsidR="009C35D2" w:rsidRPr="009C35D2">
        <w:rPr>
          <w:rFonts w:ascii="Arial" w:hAnsi="Arial" w:cs="Arial"/>
          <w:sz w:val="23"/>
          <w:szCs w:val="23"/>
        </w:rPr>
        <w:t xml:space="preserve">.  </w:t>
      </w:r>
    </w:p>
    <w:p w:rsidR="002C7053" w:rsidRDefault="002C7053" w:rsidP="002C705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9C35D2">
        <w:rPr>
          <w:rFonts w:ascii="Arial" w:hAnsi="Arial" w:cs="Arial"/>
          <w:sz w:val="23"/>
          <w:szCs w:val="23"/>
        </w:rPr>
        <w:t>ICA will keep its membership and the profession at large fully informed of all aspects</w:t>
      </w:r>
      <w:r w:rsidR="000329A2">
        <w:rPr>
          <w:rFonts w:ascii="Arial" w:hAnsi="Arial" w:cs="Arial"/>
          <w:sz w:val="23"/>
          <w:szCs w:val="23"/>
        </w:rPr>
        <w:t xml:space="preserve"> of this important undertaking</w:t>
      </w:r>
      <w:r w:rsidRPr="009C35D2">
        <w:rPr>
          <w:rFonts w:ascii="Arial" w:hAnsi="Arial" w:cs="Arial"/>
          <w:sz w:val="23"/>
          <w:szCs w:val="23"/>
        </w:rPr>
        <w:t xml:space="preserve"> </w:t>
      </w:r>
      <w:r w:rsidR="000329A2">
        <w:rPr>
          <w:rFonts w:ascii="Arial" w:hAnsi="Arial" w:cs="Arial"/>
          <w:sz w:val="23"/>
          <w:szCs w:val="23"/>
        </w:rPr>
        <w:t xml:space="preserve">with </w:t>
      </w:r>
      <w:r w:rsidRPr="009C35D2">
        <w:rPr>
          <w:rFonts w:ascii="Arial" w:hAnsi="Arial" w:cs="Arial"/>
          <w:sz w:val="23"/>
          <w:szCs w:val="23"/>
        </w:rPr>
        <w:t xml:space="preserve">the CCE.  </w:t>
      </w:r>
    </w:p>
    <w:p w:rsidR="009C35D2" w:rsidRDefault="009C35D2" w:rsidP="002C705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9C35D2" w:rsidRDefault="009C35D2" w:rsidP="002C705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9C35D2" w:rsidRPr="009C35D2" w:rsidRDefault="009C35D2" w:rsidP="009C35D2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9C35D2">
        <w:rPr>
          <w:rFonts w:ascii="Arial" w:hAnsi="Arial" w:cs="Arial"/>
          <w:b/>
          <w:sz w:val="23"/>
          <w:szCs w:val="23"/>
        </w:rPr>
        <w:t>####</w:t>
      </w:r>
    </w:p>
    <w:p w:rsidR="002C7053" w:rsidRDefault="002C7053" w:rsidP="002C7053">
      <w:pPr>
        <w:jc w:val="both"/>
        <w:rPr>
          <w:rFonts w:ascii="Arial" w:hAnsi="Arial" w:cs="Arial"/>
        </w:rPr>
      </w:pPr>
    </w:p>
    <w:sectPr w:rsidR="002C7053" w:rsidSect="00544BB3">
      <w:pgSz w:w="12240" w:h="15840"/>
      <w:pgMar w:top="27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5E11"/>
    <w:rsid w:val="00002191"/>
    <w:rsid w:val="00002EB9"/>
    <w:rsid w:val="00020555"/>
    <w:rsid w:val="00021C85"/>
    <w:rsid w:val="000329A2"/>
    <w:rsid w:val="00034F1E"/>
    <w:rsid w:val="00050CEC"/>
    <w:rsid w:val="00062BB7"/>
    <w:rsid w:val="00085D4B"/>
    <w:rsid w:val="00096EE1"/>
    <w:rsid w:val="000A5CB6"/>
    <w:rsid w:val="000C069E"/>
    <w:rsid w:val="000D29BB"/>
    <w:rsid w:val="000F4F0C"/>
    <w:rsid w:val="00101AB9"/>
    <w:rsid w:val="00123A82"/>
    <w:rsid w:val="001253D6"/>
    <w:rsid w:val="00133FF2"/>
    <w:rsid w:val="00152ABA"/>
    <w:rsid w:val="001660D7"/>
    <w:rsid w:val="001742F2"/>
    <w:rsid w:val="00177534"/>
    <w:rsid w:val="0018496B"/>
    <w:rsid w:val="001B188F"/>
    <w:rsid w:val="001C235C"/>
    <w:rsid w:val="001D3846"/>
    <w:rsid w:val="001D46FF"/>
    <w:rsid w:val="001E1725"/>
    <w:rsid w:val="001F0950"/>
    <w:rsid w:val="001F38BD"/>
    <w:rsid w:val="0021009B"/>
    <w:rsid w:val="00213193"/>
    <w:rsid w:val="0021655D"/>
    <w:rsid w:val="00225174"/>
    <w:rsid w:val="00261930"/>
    <w:rsid w:val="002A3CC8"/>
    <w:rsid w:val="002A4A55"/>
    <w:rsid w:val="002C7053"/>
    <w:rsid w:val="002E3911"/>
    <w:rsid w:val="002E6EF5"/>
    <w:rsid w:val="00306355"/>
    <w:rsid w:val="003314C7"/>
    <w:rsid w:val="003338C1"/>
    <w:rsid w:val="0036366D"/>
    <w:rsid w:val="003679B1"/>
    <w:rsid w:val="00370756"/>
    <w:rsid w:val="0038444C"/>
    <w:rsid w:val="0039729B"/>
    <w:rsid w:val="003B17AC"/>
    <w:rsid w:val="003B680F"/>
    <w:rsid w:val="003C4385"/>
    <w:rsid w:val="003D53E9"/>
    <w:rsid w:val="003D6919"/>
    <w:rsid w:val="003E2528"/>
    <w:rsid w:val="003E7C5A"/>
    <w:rsid w:val="003F114E"/>
    <w:rsid w:val="003F6366"/>
    <w:rsid w:val="00427FF9"/>
    <w:rsid w:val="00441E28"/>
    <w:rsid w:val="00445BAA"/>
    <w:rsid w:val="004573B8"/>
    <w:rsid w:val="004B61E5"/>
    <w:rsid w:val="004C21FA"/>
    <w:rsid w:val="004D10FD"/>
    <w:rsid w:val="004E09B3"/>
    <w:rsid w:val="004F3A9A"/>
    <w:rsid w:val="005015C5"/>
    <w:rsid w:val="0051213C"/>
    <w:rsid w:val="005322E6"/>
    <w:rsid w:val="00536D51"/>
    <w:rsid w:val="0054441F"/>
    <w:rsid w:val="00544556"/>
    <w:rsid w:val="00544BB3"/>
    <w:rsid w:val="005503BB"/>
    <w:rsid w:val="0057401A"/>
    <w:rsid w:val="0058002D"/>
    <w:rsid w:val="005903D4"/>
    <w:rsid w:val="0059121C"/>
    <w:rsid w:val="00592EC4"/>
    <w:rsid w:val="005A6B9B"/>
    <w:rsid w:val="005C663E"/>
    <w:rsid w:val="005E0A12"/>
    <w:rsid w:val="005F1B18"/>
    <w:rsid w:val="005F295C"/>
    <w:rsid w:val="006157C8"/>
    <w:rsid w:val="006263FE"/>
    <w:rsid w:val="006314DA"/>
    <w:rsid w:val="00631978"/>
    <w:rsid w:val="00684130"/>
    <w:rsid w:val="00686800"/>
    <w:rsid w:val="00690D58"/>
    <w:rsid w:val="0069104B"/>
    <w:rsid w:val="006A0F37"/>
    <w:rsid w:val="006E248C"/>
    <w:rsid w:val="006E4932"/>
    <w:rsid w:val="006E7239"/>
    <w:rsid w:val="006F534C"/>
    <w:rsid w:val="007627B9"/>
    <w:rsid w:val="00764534"/>
    <w:rsid w:val="007841CA"/>
    <w:rsid w:val="00785FE3"/>
    <w:rsid w:val="00795667"/>
    <w:rsid w:val="0079639A"/>
    <w:rsid w:val="007B271C"/>
    <w:rsid w:val="007C0F85"/>
    <w:rsid w:val="007D2157"/>
    <w:rsid w:val="008007EC"/>
    <w:rsid w:val="00830CF7"/>
    <w:rsid w:val="00844146"/>
    <w:rsid w:val="0085235C"/>
    <w:rsid w:val="008912F4"/>
    <w:rsid w:val="008A40A2"/>
    <w:rsid w:val="008F0C1D"/>
    <w:rsid w:val="008F25B5"/>
    <w:rsid w:val="0094192B"/>
    <w:rsid w:val="009520C2"/>
    <w:rsid w:val="00952C2D"/>
    <w:rsid w:val="0097419A"/>
    <w:rsid w:val="00981927"/>
    <w:rsid w:val="00991E5B"/>
    <w:rsid w:val="009B5CB8"/>
    <w:rsid w:val="009C35D2"/>
    <w:rsid w:val="009D7E47"/>
    <w:rsid w:val="009E39F0"/>
    <w:rsid w:val="009F0289"/>
    <w:rsid w:val="009F1B3F"/>
    <w:rsid w:val="00A27AC1"/>
    <w:rsid w:val="00A3628B"/>
    <w:rsid w:val="00A4275A"/>
    <w:rsid w:val="00A46024"/>
    <w:rsid w:val="00A46D13"/>
    <w:rsid w:val="00A66A95"/>
    <w:rsid w:val="00AA4CF6"/>
    <w:rsid w:val="00AB382D"/>
    <w:rsid w:val="00AB6853"/>
    <w:rsid w:val="00AC46AE"/>
    <w:rsid w:val="00AD5F7F"/>
    <w:rsid w:val="00AF10C5"/>
    <w:rsid w:val="00B068C4"/>
    <w:rsid w:val="00B244A7"/>
    <w:rsid w:val="00B50F4C"/>
    <w:rsid w:val="00B713B4"/>
    <w:rsid w:val="00B8250B"/>
    <w:rsid w:val="00B85B34"/>
    <w:rsid w:val="00BA7DFB"/>
    <w:rsid w:val="00BE0AC1"/>
    <w:rsid w:val="00BE3D91"/>
    <w:rsid w:val="00BE51E9"/>
    <w:rsid w:val="00C04FAA"/>
    <w:rsid w:val="00C05E59"/>
    <w:rsid w:val="00C122A4"/>
    <w:rsid w:val="00C300AC"/>
    <w:rsid w:val="00C36B2C"/>
    <w:rsid w:val="00C41794"/>
    <w:rsid w:val="00C501CD"/>
    <w:rsid w:val="00C5129A"/>
    <w:rsid w:val="00C5663E"/>
    <w:rsid w:val="00CA1754"/>
    <w:rsid w:val="00CA5029"/>
    <w:rsid w:val="00CB7B58"/>
    <w:rsid w:val="00D058B2"/>
    <w:rsid w:val="00D25229"/>
    <w:rsid w:val="00D31338"/>
    <w:rsid w:val="00D62E89"/>
    <w:rsid w:val="00D81F05"/>
    <w:rsid w:val="00D97DB3"/>
    <w:rsid w:val="00DE2E69"/>
    <w:rsid w:val="00E24BED"/>
    <w:rsid w:val="00E415FA"/>
    <w:rsid w:val="00E61BF5"/>
    <w:rsid w:val="00E64BFD"/>
    <w:rsid w:val="00E66318"/>
    <w:rsid w:val="00E96E0C"/>
    <w:rsid w:val="00EA5C9E"/>
    <w:rsid w:val="00EC1DE0"/>
    <w:rsid w:val="00EC5E11"/>
    <w:rsid w:val="00EF1809"/>
    <w:rsid w:val="00F05C39"/>
    <w:rsid w:val="00F26BDE"/>
    <w:rsid w:val="00F34A8B"/>
    <w:rsid w:val="00F45E9F"/>
    <w:rsid w:val="00F81BBB"/>
    <w:rsid w:val="00F966A6"/>
    <w:rsid w:val="00FC64EF"/>
    <w:rsid w:val="00FD0F6F"/>
    <w:rsid w:val="00FD4354"/>
    <w:rsid w:val="00FF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BB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B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eno@chiropracti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Hendrickson</dc:creator>
  <cp:lastModifiedBy>Matthew McCoy</cp:lastModifiedBy>
  <cp:revision>2</cp:revision>
  <cp:lastPrinted>2013-11-14T17:29:00Z</cp:lastPrinted>
  <dcterms:created xsi:type="dcterms:W3CDTF">2013-11-15T20:05:00Z</dcterms:created>
  <dcterms:modified xsi:type="dcterms:W3CDTF">2013-11-15T20:05:00Z</dcterms:modified>
</cp:coreProperties>
</file>